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Government Polytechnic Chapra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sz w:val="26"/>
          <w:szCs w:val="26"/>
          <w:rtl w:val="0"/>
        </w:rPr>
        <w:t xml:space="preserve">Subject - Engineering Mechanics (2002205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 Define force and provide examples of contact and non-contact forces.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Explain the principle of the parallelogram of forces.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Define the term "resultant force" and discuss its significance.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 Describe the process of resolving a force into its components.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 Discuss the conditions for equilibrium of a particle under the action of forces.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 Explain the significance of the triangle of forces in vector addition.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 Define the term "concurrent forces" and provide examples.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 Discuss the concept of the moment of a force and its applications.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 Explain the process of finding the equilibrant of a system of forces.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 Discuss the  analytical methods for resolving forces.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 What is a rigid body, and how does it differ from a deformable body?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 Define the moment of a force.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13. Explain the difference between a scalar and a vector quantity in rigid body mechanics.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14. Explain the parallel-axis theorem for moment of inertia.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15. Discuss the moment of inertia of common shapes like rods, discs, and spheres.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16. What is the difference between static and dynamic equilibrium for a rigid body?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17. Explain the concept of center of mass in rigid body mechanics.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18. Define the term "kinematics" in rigid body motion.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19. Define the term "momentum of inertia" and discuss its physical meaning.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20. Discuss the concepts of polar and axial moments of inertia.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21. Define the term "couple" in the context of rigid body mechanics.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22. Explain the principle of superposition in analyzing forces on a rigid body.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23. Discuss the equilibrium conditions for a rigid body subjected to forces.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24. Define the term "centroid" in rigid body mechanics.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25. Explain the principle of equilibrium of a rigid body under coplanar forces.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26. Define the term "beam" in rigid body mechanics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27. Define static friction and explain its role in stationary objects.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28. What factors affect the magnitude of static friction?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29. Discuss the difference between static and kinetic friction.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30. Explain the concept of the coefficient of friction.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31. How does the angle of repose relate to static friction?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32. Define limiting friction and its significance in static equilibrium.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33. Discuss the impact of surface roughness on static friction.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34. Explain the role of normal force in calculating frictional forces.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35. What is the maximum possible static friction force?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36. Discuss the concept of impending motion in static friction.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37. How does the inclination of a surface affect static friction?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38. Explain the role of lubricants in reducing static friction.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39. Discuss the influence of temperature on static friction.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40. What is the significance of the angle of friction in static equilibrium?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41. Provide examples of everyday situations where static friction is crucial.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42. What is the mechanical advantage of a simple machine, and how is it calculated?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43. Explain the working principle of a pulley system in lifting.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44. Define the term "efficiency" in the context of a simple lifting machine.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45. Discuss the advantages and disadvantages of using a lever in lifting.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46. How does the concept of a block and tackle increase the lifting force?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47. Explain the role of friction in affecting the efficiency of a simple lifting machine.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48. Discuss the application of a screw jack in lifting heavy loads.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49. Define the term "velocity ratio" in the context of simple machines.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50. Explain how a hydraulic lift system works in lifting vehicles.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51. Discuss the differences between a fixed pulley and a movable pulley.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